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firstLine="561" w:firstLineChars="200"/>
        <w:jc w:val="center"/>
        <w:rPr>
          <w:rFonts w:asciiTheme="minorEastAsia" w:hAnsiTheme="minorEastAsia" w:eastAsiaTheme="minorEastAsia"/>
          <w:b/>
          <w:sz w:val="28"/>
          <w:szCs w:val="28"/>
        </w:rPr>
      </w:pPr>
      <w:r>
        <w:rPr>
          <w:rFonts w:hint="eastAsia" w:asciiTheme="minorEastAsia" w:hAnsiTheme="minorEastAsia" w:eastAsiaTheme="minorEastAsia"/>
          <w:b/>
          <w:sz w:val="28"/>
          <w:szCs w:val="28"/>
        </w:rPr>
        <w:t>增资扩股融资模式及其成功案例分析</w:t>
      </w:r>
    </w:p>
    <w:p>
      <w:pPr>
        <w:spacing w:line="360" w:lineRule="auto"/>
        <w:ind w:firstLine="480" w:firstLineChars="200"/>
        <w:rPr>
          <w:rFonts w:asciiTheme="minorEastAsia" w:hAnsiTheme="minorEastAsia" w:eastAsiaTheme="minorEastAsia"/>
          <w:b/>
          <w:sz w:val="24"/>
          <w:szCs w:val="24"/>
        </w:rPr>
      </w:pPr>
      <w:r>
        <w:rPr>
          <w:rFonts w:hint="eastAsia" w:asciiTheme="minorEastAsia" w:hAnsiTheme="minorEastAsia" w:eastAsiaTheme="minorEastAsia"/>
          <w:b/>
          <w:sz w:val="24"/>
          <w:szCs w:val="24"/>
        </w:rPr>
        <w:t>一、增资扩股融资模式</w:t>
      </w:r>
    </w:p>
    <w:p>
      <w:pPr>
        <w:spacing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（一）基本概念</w:t>
      </w:r>
    </w:p>
    <w:p>
      <w:pPr>
        <w:spacing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增资扩股融资，是指中小企业根据发展的需要，扩大股本，融入所需资金。按扩充股权的价格和股权原有账面价格的关系，可以划分为溢价扩股、平价扩股；安资金来源划分，可以分为内源增资扩股（集资）与外源增资扩股（私募）。</w:t>
      </w:r>
    </w:p>
    <w:p>
      <w:pPr>
        <w:spacing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（二）主要特点</w:t>
      </w:r>
    </w:p>
    <w:p>
      <w:pPr>
        <w:spacing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增资扩股、利用直接投资所筹集的资金属于自有资本，与借入资金比较，更能提高企业的资信和借款能力，对扩大经营规模、壮大实力具有重要作用。资本金没有固定支付的压力，财务风险较小。增资扩股、吸收直接投资不仅可以筹集现金，而且能够直接获得其所需要的先进设备和技术，与仅收集现金的方式比较，能更快地形成生产经营能力。</w:t>
      </w:r>
    </w:p>
    <w:p>
      <w:pPr>
        <w:spacing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虽然资本金的报酬支付较灵活，但投资者要分享收益，资本成本较高。特别是企业经营状况好，盈利较多时更是如此。采用增资扩股方式筹集资金，投资者一般都会要求获得与投资数量相适应的经营管理权，还是接受外来投资的代价之一。</w:t>
      </w:r>
    </w:p>
    <w:p>
      <w:pPr>
        <w:spacing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（三）实务运作</w:t>
      </w:r>
    </w:p>
    <w:p>
      <w:pPr>
        <w:spacing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1、上市公司的增资扩股融资</w:t>
      </w:r>
    </w:p>
    <w:p>
      <w:pPr>
        <w:spacing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上市公司的增资扩股融资，是指上市公司向社会公开发行新股，包括向原股东配售新股和向全社会公众发售股票（增发）。</w:t>
      </w:r>
    </w:p>
    <w:p>
      <w:pPr>
        <w:spacing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公司法》和《证券法》对上市公司发行新股必须具备的条件做了规定，如3年内连续盈利、财务文件无虚假记载、募集资金必须按照顾说明书所列资金用途使用等。此外，中国证监会发布的《上市公司新股发行管理颁发》还从发行要求、资金用途、公司治理、公司章程等方面做出了具体规定。</w:t>
      </w:r>
    </w:p>
    <w:p>
      <w:pPr>
        <w:spacing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2、非上市公司的增资扩股融资</w:t>
      </w:r>
    </w:p>
    <w:p>
      <w:pPr>
        <w:spacing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非上市的中小企业采用增资扩股融资方式筹集资金，实际上就是吸收直接投资者，扩大资金来源。投资者可以用现金、厂房、机器设备、材料物资、无形资产等多种方式向企业投资。</w:t>
      </w:r>
    </w:p>
    <w:p>
      <w:pPr>
        <w:spacing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增资扩股、吸收直接投资一般是在企业快速成长和发展时所用的一张筹资方式。在吸收投资之前，必须确定所需要资金数量，使出资单位了解企业的经营状况和财务状况，有目的的进行投资。寻找到单位后，双方便可以进行具体的协商，确定投资的数量和投资方式。</w:t>
      </w:r>
    </w:p>
    <w:p>
      <w:pPr>
        <w:spacing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企业在采用增资扩股融资时，一般要注意相关的法律法规，确保操作程序和有关依据合乎法律法规，融得合法资金。</w:t>
      </w:r>
    </w:p>
    <w:p>
      <w:pPr>
        <w:pStyle w:val="5"/>
        <w:numPr>
          <w:ilvl w:val="0"/>
          <w:numId w:val="1"/>
        </w:numPr>
        <w:spacing w:line="220" w:lineRule="atLeast"/>
        <w:ind w:firstLineChars="0"/>
        <w:rPr>
          <w:rFonts w:asciiTheme="minorEastAsia" w:hAnsiTheme="minorEastAsia" w:eastAsiaTheme="minorEastAsia"/>
          <w:b/>
          <w:sz w:val="24"/>
          <w:szCs w:val="24"/>
        </w:rPr>
      </w:pPr>
      <w:bookmarkStart w:id="0" w:name="_GoBack"/>
      <w:bookmarkEnd w:id="0"/>
      <w:r>
        <w:rPr>
          <w:rFonts w:hint="default" w:asciiTheme="minorEastAsia" w:hAnsiTheme="minorEastAsia" w:eastAsiaTheme="minorEastAsia"/>
          <w:b/>
          <w:sz w:val="24"/>
          <w:szCs w:val="24"/>
        </w:rPr>
        <w:t>**公司</w:t>
      </w:r>
      <w:r>
        <w:rPr>
          <w:rFonts w:hint="eastAsia" w:asciiTheme="minorEastAsia" w:hAnsiTheme="minorEastAsia" w:eastAsiaTheme="minorEastAsia"/>
          <w:b/>
          <w:sz w:val="24"/>
          <w:szCs w:val="24"/>
        </w:rPr>
        <w:t>增资扩股案例</w:t>
      </w:r>
    </w:p>
    <w:p>
      <w:pPr>
        <w:spacing w:line="220" w:lineRule="atLeast"/>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(一)公司介绍</w:t>
      </w:r>
    </w:p>
    <w:p>
      <w:pPr>
        <w:spacing w:line="220" w:lineRule="atLeast"/>
        <w:ind w:firstLine="480" w:firstLineChars="200"/>
        <w:rPr>
          <w:rFonts w:asciiTheme="minorEastAsia" w:hAnsiTheme="minorEastAsia" w:eastAsiaTheme="minorEastAsia"/>
          <w:sz w:val="24"/>
          <w:szCs w:val="24"/>
        </w:rPr>
      </w:pPr>
      <w:r>
        <w:rPr>
          <w:rFonts w:hint="default" w:asciiTheme="minorEastAsia" w:hAnsiTheme="minorEastAsia" w:eastAsiaTheme="minorEastAsia"/>
          <w:sz w:val="24"/>
          <w:szCs w:val="24"/>
        </w:rPr>
        <w:t>**公司</w:t>
      </w:r>
      <w:r>
        <w:rPr>
          <w:rFonts w:hint="eastAsia" w:asciiTheme="minorEastAsia" w:hAnsiTheme="minorEastAsia" w:eastAsiaTheme="minorEastAsia"/>
          <w:sz w:val="24"/>
          <w:szCs w:val="24"/>
        </w:rPr>
        <w:t>（现名深圳市英联国际不动产有限公司，简称楹联置业）是跨地区从事城市运营及房地产营运的专业性顾问服务机构，1999年由中国著名房地产市场研究专家郭建波博士等业界精英发起成立。公司汇集城市规划、市场研究、房地产规划设计、房地产策划、品牌策划、投资分析、市场营销、项目及物业评估、二手楼交易等领域的展业人士，为客户提供增值服务，成为推动中国城市运营和房地产市场的专业力量。</w:t>
      </w:r>
    </w:p>
    <w:p>
      <w:pPr>
        <w:spacing w:line="220" w:lineRule="atLeast"/>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英联机构的组成还有：英联中国（香港）有限公司、背景英联伟业房产顾问有限公司、四川英联不动产顾问有限公司、深证市英联国际不动产有限公司无锡分公司、深圳市清园高科实业发展有限公司。</w:t>
      </w:r>
    </w:p>
    <w:p>
      <w:pPr>
        <w:spacing w:line="220" w:lineRule="atLeast"/>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英联国际不动产创办了《英联新世纪》（双月刊）和《英联参考》（周报）。</w:t>
      </w:r>
    </w:p>
    <w:p>
      <w:pPr>
        <w:spacing w:line="220" w:lineRule="atLeast"/>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2004年年初，英联置业更名为深圳市英联国际不动产有限公司，并增资扩股，注册资本增至600万元。深圳上市公司深圳沙河实业股份有限公司入主英联，成为英联战略投资者。</w:t>
      </w:r>
    </w:p>
    <w:p>
      <w:pPr>
        <w:spacing w:line="220" w:lineRule="atLeast"/>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英联置业原股权比例：郭建波50%，宋星慧30%，刘小松20%。</w:t>
      </w:r>
    </w:p>
    <w:p>
      <w:pPr>
        <w:spacing w:line="220" w:lineRule="atLeast"/>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(二)融资概况</w:t>
      </w:r>
    </w:p>
    <w:p>
      <w:pPr>
        <w:spacing w:line="220" w:lineRule="atLeast"/>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2003年12月22日英联置业召开2003年第一次股东大会通过《股东会决议》，同意公司股东郭建波、宋慧星、刘小松以深圳市鹏城会计师事务所有限公司2003年12月1日出具的评估报告（深鹏所评估字[2003]第75号）确定英联置业2003年10月31日整体资产价值366.12万元的80%为依据，向深圳沙河实业有限公司、李江、郭秋宁、王晓生转让部分股权。同意股东郭建波将其合法持有的50%股份中的25%转让给沙河实业股份有限公司，保留25%的股份；同意股东宋慧星将其持有的30%股份中的3%转让给沙河实业股份有限公司，13%转让给李江，13%转让给郭秋宁，1%转让给王晓生，转让后宋慧星不再持有公司股份；同意公司股东刘小松将其合法持有的20%股份中的11%转让给王晓生，保留9%的股份。同意将公司注册资本由人民币200万增资到人民币600万元。上述转让并增资扩股后个股东所持有股份比例如下：</w:t>
      </w:r>
    </w:p>
    <w:p>
      <w:pPr>
        <w:spacing w:line="220" w:lineRule="atLeast"/>
        <w:ind w:firstLine="480" w:firstLineChars="200"/>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转让并增资扩股后各股东所持有股份的比例</w:t>
      </w:r>
    </w:p>
    <w:tbl>
      <w:tblPr>
        <w:tblStyle w:val="4"/>
        <w:tblW w:w="8522" w:type="dxa"/>
        <w:tblInd w:w="0" w:type="dxa"/>
        <w:tblBorders>
          <w:top w:val="single" w:color="auto" w:sz="4" w:space="0"/>
          <w:left w:val="single" w:color="auto" w:sz="4" w:space="0"/>
          <w:bottom w:val="single" w:color="auto" w:sz="4" w:space="0"/>
          <w:right w:val="single" w:color="auto"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4261"/>
        <w:gridCol w:w="4261"/>
      </w:tblGrid>
      <w:tr>
        <w:tblPrEx>
          <w:tblBorders>
            <w:top w:val="single" w:color="auto" w:sz="4" w:space="0"/>
            <w:left w:val="single" w:color="auto" w:sz="4" w:space="0"/>
            <w:bottom w:val="single" w:color="auto" w:sz="4" w:space="0"/>
            <w:right w:val="single" w:color="auto" w:sz="4" w:space="0"/>
            <w:insideH w:val="single" w:color="000000" w:themeColor="text1" w:sz="4" w:space="0"/>
            <w:insideV w:val="single" w:color="000000" w:themeColor="text1" w:sz="4" w:space="0"/>
          </w:tblBorders>
        </w:tblPrEx>
        <w:tc>
          <w:tcPr>
            <w:tcW w:w="4261" w:type="dxa"/>
            <w:tcBorders>
              <w:top w:val="thickThinSmallGap" w:color="auto" w:sz="12" w:space="0"/>
              <w:left w:val="nil"/>
            </w:tcBorders>
          </w:tcPr>
          <w:p>
            <w:pPr>
              <w:spacing w:after="0" w:line="220" w:lineRule="atLeast"/>
              <w:ind w:firstLine="480" w:firstLineChars="200"/>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沙河实业股份有限公司</w:t>
            </w:r>
          </w:p>
        </w:tc>
        <w:tc>
          <w:tcPr>
            <w:tcW w:w="4261" w:type="dxa"/>
            <w:tcBorders>
              <w:top w:val="thickThinSmallGap" w:color="auto" w:sz="12" w:space="0"/>
              <w:right w:val="nil"/>
            </w:tcBorders>
          </w:tcPr>
          <w:p>
            <w:pPr>
              <w:spacing w:after="0" w:line="220" w:lineRule="atLeast"/>
              <w:ind w:firstLine="480" w:firstLineChars="200"/>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28%</w:t>
            </w:r>
          </w:p>
        </w:tc>
      </w:tr>
      <w:tr>
        <w:tblPrEx>
          <w:tblBorders>
            <w:top w:val="single" w:color="auto" w:sz="4" w:space="0"/>
            <w:left w:val="single" w:color="auto" w:sz="4" w:space="0"/>
            <w:bottom w:val="single" w:color="auto" w:sz="4" w:space="0"/>
            <w:right w:val="single" w:color="auto" w:sz="4" w:space="0"/>
            <w:insideH w:val="single" w:color="000000" w:themeColor="text1" w:sz="4" w:space="0"/>
            <w:insideV w:val="single" w:color="000000" w:themeColor="text1" w:sz="4" w:space="0"/>
          </w:tblBorders>
        </w:tblPrEx>
        <w:tc>
          <w:tcPr>
            <w:tcW w:w="4261" w:type="dxa"/>
            <w:tcBorders>
              <w:left w:val="nil"/>
            </w:tcBorders>
          </w:tcPr>
          <w:p>
            <w:pPr>
              <w:spacing w:after="0" w:line="220" w:lineRule="atLeast"/>
              <w:ind w:firstLine="480" w:firstLineChars="200"/>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郭建波</w:t>
            </w:r>
          </w:p>
        </w:tc>
        <w:tc>
          <w:tcPr>
            <w:tcW w:w="4261" w:type="dxa"/>
            <w:tcBorders>
              <w:right w:val="nil"/>
            </w:tcBorders>
          </w:tcPr>
          <w:p>
            <w:pPr>
              <w:spacing w:after="0" w:line="220" w:lineRule="atLeast"/>
              <w:ind w:firstLine="480" w:firstLineChars="200"/>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25%</w:t>
            </w:r>
          </w:p>
        </w:tc>
      </w:tr>
      <w:tr>
        <w:tblPrEx>
          <w:tblBorders>
            <w:top w:val="single" w:color="auto" w:sz="4" w:space="0"/>
            <w:left w:val="single" w:color="auto" w:sz="4" w:space="0"/>
            <w:bottom w:val="single" w:color="auto" w:sz="4" w:space="0"/>
            <w:right w:val="single" w:color="auto" w:sz="4" w:space="0"/>
            <w:insideH w:val="single" w:color="000000" w:themeColor="text1" w:sz="4" w:space="0"/>
            <w:insideV w:val="single" w:color="000000" w:themeColor="text1" w:sz="4" w:space="0"/>
          </w:tblBorders>
        </w:tblPrEx>
        <w:tc>
          <w:tcPr>
            <w:tcW w:w="4261" w:type="dxa"/>
            <w:tcBorders>
              <w:left w:val="nil"/>
            </w:tcBorders>
          </w:tcPr>
          <w:p>
            <w:pPr>
              <w:spacing w:after="0" w:line="220" w:lineRule="atLeast"/>
              <w:ind w:firstLine="480" w:firstLineChars="200"/>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李江</w:t>
            </w:r>
          </w:p>
        </w:tc>
        <w:tc>
          <w:tcPr>
            <w:tcW w:w="4261" w:type="dxa"/>
            <w:tcBorders>
              <w:right w:val="nil"/>
            </w:tcBorders>
          </w:tcPr>
          <w:p>
            <w:pPr>
              <w:spacing w:after="0" w:line="220" w:lineRule="atLeast"/>
              <w:ind w:firstLine="480" w:firstLineChars="200"/>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13%</w:t>
            </w:r>
          </w:p>
        </w:tc>
      </w:tr>
      <w:tr>
        <w:tblPrEx>
          <w:tblBorders>
            <w:top w:val="single" w:color="auto" w:sz="4" w:space="0"/>
            <w:left w:val="single" w:color="auto" w:sz="4" w:space="0"/>
            <w:bottom w:val="single" w:color="auto" w:sz="4" w:space="0"/>
            <w:right w:val="single" w:color="auto" w:sz="4" w:space="0"/>
            <w:insideH w:val="single" w:color="000000" w:themeColor="text1" w:sz="4" w:space="0"/>
            <w:insideV w:val="single" w:color="000000" w:themeColor="text1" w:sz="4" w:space="0"/>
          </w:tblBorders>
        </w:tblPrEx>
        <w:tc>
          <w:tcPr>
            <w:tcW w:w="4261" w:type="dxa"/>
            <w:tcBorders>
              <w:left w:val="nil"/>
            </w:tcBorders>
          </w:tcPr>
          <w:p>
            <w:pPr>
              <w:spacing w:after="0" w:line="220" w:lineRule="atLeast"/>
              <w:ind w:firstLine="480" w:firstLineChars="200"/>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郭秋宁</w:t>
            </w:r>
          </w:p>
        </w:tc>
        <w:tc>
          <w:tcPr>
            <w:tcW w:w="4261" w:type="dxa"/>
            <w:tcBorders>
              <w:right w:val="nil"/>
            </w:tcBorders>
          </w:tcPr>
          <w:p>
            <w:pPr>
              <w:spacing w:after="0" w:line="220" w:lineRule="atLeast"/>
              <w:ind w:firstLine="480" w:firstLineChars="200"/>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13%</w:t>
            </w:r>
          </w:p>
        </w:tc>
      </w:tr>
      <w:tr>
        <w:tblPrEx>
          <w:tblBorders>
            <w:top w:val="single" w:color="auto" w:sz="4" w:space="0"/>
            <w:left w:val="single" w:color="auto" w:sz="4" w:space="0"/>
            <w:bottom w:val="single" w:color="auto" w:sz="4" w:space="0"/>
            <w:right w:val="single" w:color="auto" w:sz="4" w:space="0"/>
            <w:insideH w:val="single" w:color="000000" w:themeColor="text1" w:sz="4" w:space="0"/>
            <w:insideV w:val="single" w:color="000000" w:themeColor="text1" w:sz="4" w:space="0"/>
          </w:tblBorders>
        </w:tblPrEx>
        <w:tc>
          <w:tcPr>
            <w:tcW w:w="4261" w:type="dxa"/>
            <w:tcBorders>
              <w:left w:val="nil"/>
            </w:tcBorders>
          </w:tcPr>
          <w:p>
            <w:pPr>
              <w:spacing w:after="0" w:line="220" w:lineRule="atLeast"/>
              <w:ind w:firstLine="480" w:firstLineChars="200"/>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王晓生</w:t>
            </w:r>
          </w:p>
        </w:tc>
        <w:tc>
          <w:tcPr>
            <w:tcW w:w="4261" w:type="dxa"/>
            <w:tcBorders>
              <w:right w:val="nil"/>
            </w:tcBorders>
          </w:tcPr>
          <w:p>
            <w:pPr>
              <w:spacing w:after="0" w:line="220" w:lineRule="atLeast"/>
              <w:ind w:firstLine="480" w:firstLineChars="200"/>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12%</w:t>
            </w:r>
          </w:p>
        </w:tc>
      </w:tr>
      <w:tr>
        <w:tblPrEx>
          <w:tblBorders>
            <w:top w:val="single" w:color="auto" w:sz="4" w:space="0"/>
            <w:left w:val="single" w:color="auto" w:sz="4" w:space="0"/>
            <w:bottom w:val="single" w:color="auto" w:sz="4" w:space="0"/>
            <w:right w:val="single" w:color="auto" w:sz="4" w:space="0"/>
            <w:insideH w:val="single" w:color="000000" w:themeColor="text1" w:sz="4" w:space="0"/>
            <w:insideV w:val="single" w:color="000000" w:themeColor="text1" w:sz="4" w:space="0"/>
          </w:tblBorders>
        </w:tblPrEx>
        <w:tc>
          <w:tcPr>
            <w:tcW w:w="4261" w:type="dxa"/>
            <w:tcBorders>
              <w:left w:val="nil"/>
              <w:bottom w:val="thickThinSmallGap" w:color="auto" w:sz="12" w:space="0"/>
            </w:tcBorders>
          </w:tcPr>
          <w:p>
            <w:pPr>
              <w:spacing w:after="0" w:line="220" w:lineRule="atLeast"/>
              <w:ind w:firstLine="480" w:firstLineChars="200"/>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刘小松</w:t>
            </w:r>
          </w:p>
        </w:tc>
        <w:tc>
          <w:tcPr>
            <w:tcW w:w="4261" w:type="dxa"/>
            <w:tcBorders>
              <w:bottom w:val="thickThinSmallGap" w:color="auto" w:sz="12" w:space="0"/>
              <w:right w:val="nil"/>
            </w:tcBorders>
          </w:tcPr>
          <w:p>
            <w:pPr>
              <w:spacing w:after="0" w:line="220" w:lineRule="atLeast"/>
              <w:ind w:firstLine="480" w:firstLineChars="200"/>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9%</w:t>
            </w:r>
          </w:p>
        </w:tc>
      </w:tr>
    </w:tbl>
    <w:p>
      <w:pPr>
        <w:spacing w:line="220" w:lineRule="atLeast"/>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本次股权交易及增资事项不涉及关联交易。</w:t>
      </w:r>
    </w:p>
    <w:p>
      <w:pPr>
        <w:spacing w:line="220" w:lineRule="atLeast"/>
        <w:ind w:firstLine="480" w:firstLineChars="200"/>
        <w:rPr>
          <w:rFonts w:asciiTheme="minorEastAsia" w:hAnsiTheme="minorEastAsia" w:eastAsiaTheme="minorEastAsia"/>
          <w:sz w:val="24"/>
          <w:szCs w:val="24"/>
        </w:rPr>
      </w:pPr>
    </w:p>
    <w:p>
      <w:pPr>
        <w:spacing w:line="220" w:lineRule="atLeast"/>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（三</w:t>
      </w:r>
      <w:r>
        <w:rPr>
          <w:rFonts w:asciiTheme="minorEastAsia" w:hAnsiTheme="minorEastAsia" w:eastAsiaTheme="minorEastAsia"/>
          <w:sz w:val="24"/>
          <w:szCs w:val="24"/>
        </w:rPr>
        <w:t>）</w:t>
      </w:r>
      <w:r>
        <w:rPr>
          <w:rFonts w:hint="eastAsia" w:asciiTheme="minorEastAsia" w:hAnsiTheme="minorEastAsia" w:eastAsiaTheme="minorEastAsia"/>
          <w:sz w:val="24"/>
          <w:szCs w:val="24"/>
        </w:rPr>
        <w:t>交易对象</w:t>
      </w:r>
    </w:p>
    <w:p>
      <w:pPr>
        <w:spacing w:line="220" w:lineRule="atLeast"/>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沙河实业股份有限公司是一家由沙河实业（集团）有限公司控股非国内公开上市公司，总股本进亿股，主要从事房地产开发及配套工程开发建设、新型建材的生产与建设、物业租赁和管理、物业供销、国内外商及投资兴办实业等。</w:t>
      </w:r>
    </w:p>
    <w:p>
      <w:pPr>
        <w:spacing w:line="220" w:lineRule="atLeast"/>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（四）合同主要内容</w:t>
      </w:r>
    </w:p>
    <w:p>
      <w:pPr>
        <w:spacing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1、2004年1月13日，沙河实业实业股份有限公司与英联置业签署了《股权转让协议》，协议约定：同意郭建波转让25%的股权给沙河实业股份有限公司，宋慧星同意转让3%的股权给沙河实业股份有限公司，该项股权转让以深鹏所估字[2003]第75号评估报告确定的英联置业2003年10月31日整体资产价值366.12万元的80%为依据，即人民币82万元（366.12×25%×80%+366.12×3%×80%</w:t>
      </w:r>
      <w:r>
        <w:rPr>
          <w:rFonts w:asciiTheme="minorEastAsia" w:hAnsiTheme="minorEastAsia" w:eastAsiaTheme="minorEastAsia"/>
          <w:sz w:val="24"/>
          <w:szCs w:val="24"/>
        </w:rPr>
        <w:t>）</w:t>
      </w:r>
      <w:r>
        <w:rPr>
          <w:rFonts w:hint="eastAsia" w:asciiTheme="minorEastAsia" w:hAnsiTheme="minorEastAsia" w:eastAsiaTheme="minorEastAsia"/>
          <w:sz w:val="24"/>
          <w:szCs w:val="24"/>
        </w:rPr>
        <w:t>。</w:t>
      </w:r>
    </w:p>
    <w:p>
      <w:pPr>
        <w:spacing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2、2004年1月13日，沙河实业股份有限公司、郭建波、李江、郭秋宁、刘小松及王晓生等6名出资人（法人1名，自然人5名）签署了《出资人协议书》。根据协议，各出资人一致同意将英联置业注册资本有人民币200万元增至人民币600万元，增资额为400万元，根据持股比例，沙河实业股份有限公司需支付增资额112万元（400×28%）。</w:t>
      </w:r>
    </w:p>
    <w:p>
      <w:pPr>
        <w:spacing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3、根据上述股权收购收购及增资事宜，沙河实业股份有限公司共需出资人民币194万元。本此股权转让及增资后，沙河实业股份有限公司持有英联置业28%的股权，为该公司第一大股东。</w:t>
      </w:r>
    </w:p>
    <w:p>
      <w:pPr>
        <w:spacing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4、交易各方签字盖章并经沙河实业股份有限公司董事会批准后，沙河实业股份有限公司先支付总价款的30%，即82×30%＝24.6万元，待英联置业其他出资人其他5位出资人出资到位之后，支付其余的20%价款，即16.4万元，其余价款的50%，即41万元（82×50%），在办理完工商登记等相关手续后3日内支付。</w:t>
      </w:r>
    </w:p>
    <w:p>
      <w:pPr>
        <w:spacing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5、英联置业其他出资人增资款到位并取得英联置业开具的出资证明书后，沙河实业股份有限公司一次支付增资额112万元。</w:t>
      </w:r>
    </w:p>
    <w:p>
      <w:pPr>
        <w:spacing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（五）其他事项</w:t>
      </w:r>
    </w:p>
    <w:p>
      <w:pPr>
        <w:spacing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2004年，英联国际不动产快速发展进军地产三级市场，并计划3年内在深圳及珠三角地区发展50个网店。2004年英联国际不动产与澳大利亚国立大学GMS研究院结成战略联盟，并全面导入“G管理模式”。此举将使英联国际不动产的核心竞争力得到进一步增强。2003年，英联国际不动产隆重推出“路虎”行动，3年内策划运营“6个中国名城、30个中国名企、30个中国名盘”。</w:t>
      </w:r>
    </w:p>
    <w:p>
      <w:pPr>
        <w:pStyle w:val="5"/>
        <w:numPr>
          <w:ilvl w:val="0"/>
          <w:numId w:val="1"/>
        </w:numPr>
        <w:spacing w:line="360" w:lineRule="auto"/>
        <w:ind w:firstLineChars="0"/>
        <w:rPr>
          <w:rFonts w:asciiTheme="minorEastAsia" w:hAnsiTheme="minorEastAsia" w:eastAsiaTheme="minorEastAsia"/>
          <w:b/>
          <w:sz w:val="24"/>
          <w:szCs w:val="24"/>
        </w:rPr>
      </w:pPr>
      <w:r>
        <w:rPr>
          <w:rFonts w:hint="eastAsia" w:asciiTheme="minorEastAsia" w:hAnsiTheme="minorEastAsia" w:eastAsiaTheme="minorEastAsia"/>
          <w:b/>
          <w:sz w:val="24"/>
          <w:szCs w:val="24"/>
        </w:rPr>
        <w:t xml:space="preserve">案例点评   </w:t>
      </w:r>
    </w:p>
    <w:p>
      <w:pPr>
        <w:spacing w:line="360" w:lineRule="auto"/>
        <w:ind w:firstLine="465"/>
        <w:rPr>
          <w:rFonts w:asciiTheme="minorEastAsia" w:hAnsiTheme="minorEastAsia" w:eastAsiaTheme="minorEastAsia"/>
          <w:sz w:val="24"/>
          <w:szCs w:val="24"/>
        </w:rPr>
      </w:pPr>
      <w:r>
        <w:rPr>
          <w:rFonts w:hint="eastAsia" w:asciiTheme="minorEastAsia" w:hAnsiTheme="minorEastAsia" w:eastAsiaTheme="minorEastAsia"/>
          <w:sz w:val="24"/>
          <w:szCs w:val="24"/>
        </w:rPr>
        <w:t>增资扩股经常发生在股权出让之后。新的控股股东在接管企业之后，为了扩大生产，加快企业发展步伐，会和其他股东协商进行增资扩股。如果企业的股份出让进行得当，企业的重组进行得顺利，新的股东和管理层被市场所看好，这是曾资扩股的好时机。</w:t>
      </w:r>
    </w:p>
    <w:p>
      <w:pPr>
        <w:spacing w:line="360" w:lineRule="auto"/>
        <w:rPr>
          <w:rFonts w:asciiTheme="minorEastAsia" w:hAnsiTheme="minorEastAsia" w:eastAsiaTheme="minorEastAsia"/>
          <w:sz w:val="24"/>
          <w:szCs w:val="24"/>
        </w:rPr>
      </w:pPr>
      <w:r>
        <w:rPr>
          <w:rFonts w:hint="eastAsia" w:asciiTheme="minorEastAsia" w:hAnsiTheme="minorEastAsia" w:eastAsiaTheme="minorEastAsia"/>
          <w:sz w:val="24"/>
          <w:szCs w:val="24"/>
        </w:rPr>
        <w:t xml:space="preserve">   企业在确定新增发股票数量时要做好市场调查。要充分考虑企业的经营状况和发展需要，还有市场形势和投资者对企业的信心。融资太少不足以支持企业的发展，还要支付大量的融资成本。而如果增发超过企业发展需要的股票，不仅稀释企业管理权，增加企业管理的压力，更有可能增发失败，太太影响企业的声誉。</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00000000" w:usb1="00000000"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F97665"/>
    <w:multiLevelType w:val="multilevel"/>
    <w:tmpl w:val="30F97665"/>
    <w:lvl w:ilvl="0" w:tentative="0">
      <w:start w:val="2"/>
      <w:numFmt w:val="japaneseCounting"/>
      <w:lvlText w:val="%1、"/>
      <w:lvlJc w:val="left"/>
      <w:pPr>
        <w:ind w:left="838" w:hanging="720"/>
      </w:pPr>
      <w:rPr>
        <w:rFonts w:hint="default"/>
      </w:rPr>
    </w:lvl>
    <w:lvl w:ilvl="1" w:tentative="0">
      <w:start w:val="1"/>
      <w:numFmt w:val="lowerLetter"/>
      <w:lvlText w:val="%2)"/>
      <w:lvlJc w:val="left"/>
      <w:pPr>
        <w:ind w:left="958" w:hanging="420"/>
      </w:pPr>
    </w:lvl>
    <w:lvl w:ilvl="2" w:tentative="0">
      <w:start w:val="1"/>
      <w:numFmt w:val="lowerRoman"/>
      <w:lvlText w:val="%3."/>
      <w:lvlJc w:val="right"/>
      <w:pPr>
        <w:ind w:left="1378" w:hanging="420"/>
      </w:pPr>
    </w:lvl>
    <w:lvl w:ilvl="3" w:tentative="0">
      <w:start w:val="1"/>
      <w:numFmt w:val="decimal"/>
      <w:lvlText w:val="%4."/>
      <w:lvlJc w:val="left"/>
      <w:pPr>
        <w:ind w:left="1798" w:hanging="420"/>
      </w:pPr>
    </w:lvl>
    <w:lvl w:ilvl="4" w:tentative="0">
      <w:start w:val="1"/>
      <w:numFmt w:val="lowerLetter"/>
      <w:lvlText w:val="%5)"/>
      <w:lvlJc w:val="left"/>
      <w:pPr>
        <w:ind w:left="2218" w:hanging="420"/>
      </w:pPr>
    </w:lvl>
    <w:lvl w:ilvl="5" w:tentative="0">
      <w:start w:val="1"/>
      <w:numFmt w:val="lowerRoman"/>
      <w:lvlText w:val="%6."/>
      <w:lvlJc w:val="right"/>
      <w:pPr>
        <w:ind w:left="2638" w:hanging="420"/>
      </w:pPr>
    </w:lvl>
    <w:lvl w:ilvl="6" w:tentative="0">
      <w:start w:val="1"/>
      <w:numFmt w:val="decimal"/>
      <w:lvlText w:val="%7."/>
      <w:lvlJc w:val="left"/>
      <w:pPr>
        <w:ind w:left="3058" w:hanging="420"/>
      </w:pPr>
    </w:lvl>
    <w:lvl w:ilvl="7" w:tentative="0">
      <w:start w:val="1"/>
      <w:numFmt w:val="lowerLetter"/>
      <w:lvlText w:val="%8)"/>
      <w:lvlJc w:val="left"/>
      <w:pPr>
        <w:ind w:left="3478" w:hanging="420"/>
      </w:pPr>
    </w:lvl>
    <w:lvl w:ilvl="8" w:tentative="0">
      <w:start w:val="1"/>
      <w:numFmt w:val="lowerRoman"/>
      <w:lvlText w:val="%9."/>
      <w:lvlJc w:val="right"/>
      <w:pPr>
        <w:ind w:left="3898"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7"/>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7F4051A"/>
    <w:rsid w:val="3F7BB72A"/>
    <w:rsid w:val="57F4051A"/>
    <w:rsid w:val="6D5350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table" w:styleId="4">
    <w:name w:val="Table Grid"/>
    <w:basedOn w:val="3"/>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5">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zhangxiang/Library/Containers/com.kingsoft.wpsoffice.mac/Data/C:\Users\John\AppData\Roaming\Kingsoft\wps\addons\pool\win-i386\knewfileres_1.0.0.3\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1</Pages>
  <Words>0</Words>
  <Characters>0</Characters>
  <Lines>0</Lines>
  <Paragraphs>0</Paragraphs>
  <ScaleCrop>false</ScaleCrop>
  <LinksUpToDate>false</LinksUpToDate>
  <CharactersWithSpaces>0</CharactersWithSpaces>
  <Application>WPS Office_3.8.1.6116_F1E327BC-269C-435d-A152-05C5408002CA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2018-05-18T15:18:00Z</dcterms:created>
  <dc:creator>张翔</dc:creator>
  <cp:lastModifiedBy>zhangxiang</cp:lastModifiedBy>
  <dcterms:modified xsi:type="dcterms:W3CDTF">2022-04-07T21:33:56Z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2052-3.8.1.6116</vt:lpwstr>
  </property>
</Properties>
</file>